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226" w:beforeAutospacing="0" w:after="0" w:afterAutospacing="0" w:line="450" w:lineRule="atLeast"/>
        <w:ind w:left="0" w:right="0"/>
        <w:jc w:val="center"/>
        <w:rPr>
          <w:rFonts w:hint="eastAsia" w:ascii="微软雅黑" w:hAnsi="微软雅黑" w:eastAsia="微软雅黑" w:cs="微软雅黑"/>
          <w:sz w:val="40"/>
          <w:szCs w:val="40"/>
        </w:rPr>
      </w:pPr>
      <w:bookmarkStart w:id="0" w:name="_GoBack"/>
      <w:r>
        <w:rPr>
          <w:rFonts w:hint="eastAsia" w:ascii="微软雅黑" w:hAnsi="微软雅黑" w:eastAsia="微软雅黑" w:cs="微软雅黑"/>
          <w:sz w:val="40"/>
          <w:szCs w:val="40"/>
        </w:rPr>
        <w:t>科学问责，方能激发担当（大家谈）</w:t>
      </w:r>
    </w:p>
    <w:bookmarkEnd w:id="0"/>
    <w:p>
      <w:pPr>
        <w:rPr>
          <w:rFonts w:hint="eastAsia" w:ascii="微软雅黑" w:hAnsi="微软雅黑" w:eastAsia="微软雅黑" w:cs="微软雅黑"/>
          <w:b/>
          <w:color w:val="000000"/>
          <w:sz w:val="27"/>
          <w:szCs w:val="27"/>
        </w:rPr>
      </w:pPr>
      <w:r>
        <w:rPr>
          <w:rFonts w:hint="eastAsia" w:ascii="微软雅黑" w:hAnsi="微软雅黑" w:eastAsia="微软雅黑" w:cs="微软雅黑"/>
          <w:b/>
          <w:color w:val="000000"/>
          <w:sz w:val="27"/>
          <w:szCs w:val="27"/>
        </w:rPr>
        <w:t>【考点分析】</w:t>
      </w:r>
    </w:p>
    <w:p>
      <w:pPr>
        <w:ind w:firstLine="560" w:firstLineChars="200"/>
        <w:rPr>
          <w:rFonts w:hint="eastAsia" w:ascii="微软雅黑" w:hAnsi="微软雅黑" w:eastAsia="微软雅黑" w:cs="微软雅黑"/>
          <w:b/>
          <w:bCs/>
          <w:i w:val="0"/>
          <w:caps w:val="0"/>
          <w:color w:val="215868"/>
          <w:spacing w:val="0"/>
          <w:sz w:val="28"/>
          <w:szCs w:val="28"/>
          <w:lang w:val="en-US" w:eastAsia="zh-CN"/>
        </w:rPr>
      </w:pPr>
      <w:r>
        <w:rPr>
          <w:rFonts w:hint="eastAsia" w:ascii="微软雅黑" w:hAnsi="微软雅黑" w:eastAsia="微软雅黑" w:cs="微软雅黑"/>
          <w:b/>
          <w:bCs/>
          <w:i w:val="0"/>
          <w:caps w:val="0"/>
          <w:color w:val="215868"/>
          <w:spacing w:val="0"/>
          <w:sz w:val="28"/>
          <w:szCs w:val="28"/>
          <w:shd w:val="clear" w:fill="FFFFFF"/>
        </w:rPr>
        <w:t>推进真抓实干，必须有严格的问责机制作保障。党的十八大以来，随着党规党纪的笼子越扎越紧，“责任”二字在广大党员干部心中的分量更加吃重</w:t>
      </w:r>
      <w:r>
        <w:rPr>
          <w:rFonts w:hint="eastAsia" w:ascii="微软雅黑" w:hAnsi="微软雅黑" w:eastAsia="微软雅黑" w:cs="微软雅黑"/>
          <w:b/>
          <w:bCs/>
          <w:i w:val="0"/>
          <w:caps w:val="0"/>
          <w:color w:val="215868"/>
          <w:spacing w:val="0"/>
          <w:sz w:val="28"/>
          <w:szCs w:val="28"/>
          <w:shd w:val="clear" w:fill="FFFFFF"/>
          <w:lang w:eastAsia="zh-CN"/>
        </w:rPr>
        <w:t>，</w:t>
      </w:r>
      <w:r>
        <w:rPr>
          <w:rFonts w:hint="eastAsia" w:ascii="微软雅黑" w:hAnsi="微软雅黑" w:eastAsia="微软雅黑" w:cs="微软雅黑"/>
          <w:b/>
          <w:bCs/>
          <w:i w:val="0"/>
          <w:caps w:val="0"/>
          <w:color w:val="215868"/>
          <w:spacing w:val="0"/>
          <w:sz w:val="28"/>
          <w:szCs w:val="28"/>
          <w:shd w:val="clear" w:fill="FFFFFF"/>
        </w:rPr>
        <w:t>推动问责工作</w:t>
      </w:r>
      <w:r>
        <w:rPr>
          <w:rFonts w:hint="eastAsia" w:ascii="微软雅黑" w:hAnsi="微软雅黑" w:eastAsia="微软雅黑" w:cs="微软雅黑"/>
          <w:b/>
          <w:bCs/>
          <w:i w:val="0"/>
          <w:caps w:val="0"/>
          <w:color w:val="215868"/>
          <w:spacing w:val="0"/>
          <w:sz w:val="28"/>
          <w:szCs w:val="28"/>
          <w:shd w:val="clear" w:fill="FFFFFF"/>
          <w:lang w:val="en-US" w:eastAsia="zh-CN"/>
        </w:rPr>
        <w:t>不断</w:t>
      </w:r>
      <w:r>
        <w:rPr>
          <w:rFonts w:hint="eastAsia" w:ascii="微软雅黑" w:hAnsi="微软雅黑" w:eastAsia="微软雅黑" w:cs="微软雅黑"/>
          <w:b/>
          <w:bCs/>
          <w:i w:val="0"/>
          <w:caps w:val="0"/>
          <w:color w:val="215868"/>
          <w:spacing w:val="0"/>
          <w:sz w:val="28"/>
          <w:szCs w:val="28"/>
          <w:shd w:val="clear" w:fill="FFFFFF"/>
        </w:rPr>
        <w:t>向纵深发展，从根本上改变了一些党员领导干部对自身管党治党责任认识不清的状况。</w:t>
      </w:r>
      <w:r>
        <w:rPr>
          <w:rFonts w:hint="eastAsia" w:ascii="微软雅黑" w:hAnsi="微软雅黑" w:eastAsia="微软雅黑" w:cs="微软雅黑"/>
          <w:b/>
          <w:bCs/>
          <w:i w:val="0"/>
          <w:caps w:val="0"/>
          <w:color w:val="215868"/>
          <w:spacing w:val="0"/>
          <w:sz w:val="28"/>
          <w:szCs w:val="28"/>
          <w:shd w:val="clear" w:fill="FFFFFF"/>
          <w:lang w:val="en-US" w:eastAsia="zh-CN"/>
        </w:rPr>
        <w:t xml:space="preserve"> </w:t>
      </w:r>
      <w:r>
        <w:rPr>
          <w:rFonts w:hint="eastAsia" w:ascii="微软雅黑" w:hAnsi="微软雅黑" w:eastAsia="微软雅黑" w:cs="微软雅黑"/>
          <w:b/>
          <w:bCs/>
          <w:color w:val="215868"/>
          <w:sz w:val="28"/>
          <w:szCs w:val="28"/>
        </w:rPr>
        <w:t>但一些地</w:t>
      </w:r>
      <w:r>
        <w:rPr>
          <w:rFonts w:hint="eastAsia" w:ascii="微软雅黑" w:hAnsi="微软雅黑" w:eastAsia="微软雅黑" w:cs="微软雅黑"/>
          <w:b/>
          <w:bCs/>
          <w:color w:val="215868"/>
          <w:sz w:val="28"/>
          <w:szCs w:val="28"/>
          <w:lang w:val="en-US" w:eastAsia="zh-CN"/>
        </w:rPr>
        <w:t>区</w:t>
      </w:r>
      <w:r>
        <w:rPr>
          <w:rFonts w:hint="eastAsia" w:ascii="微软雅黑" w:hAnsi="微软雅黑" w:eastAsia="微软雅黑" w:cs="微软雅黑"/>
          <w:b/>
          <w:bCs/>
          <w:color w:val="215868"/>
          <w:sz w:val="28"/>
          <w:szCs w:val="28"/>
        </w:rPr>
        <w:t>过分依赖以问责督促落实，以至</w:t>
      </w:r>
      <w:r>
        <w:rPr>
          <w:rFonts w:hint="eastAsia" w:ascii="微软雅黑" w:hAnsi="微软雅黑" w:eastAsia="微软雅黑" w:cs="微软雅黑"/>
          <w:b/>
          <w:bCs/>
          <w:color w:val="215868"/>
          <w:sz w:val="28"/>
          <w:szCs w:val="28"/>
          <w:lang w:val="en-US" w:eastAsia="zh-CN"/>
        </w:rPr>
        <w:t>出现</w:t>
      </w:r>
      <w:r>
        <w:rPr>
          <w:rFonts w:hint="eastAsia" w:ascii="微软雅黑" w:hAnsi="微软雅黑" w:eastAsia="微软雅黑" w:cs="微软雅黑"/>
          <w:b/>
          <w:bCs/>
          <w:color w:val="215868"/>
          <w:sz w:val="28"/>
          <w:szCs w:val="28"/>
        </w:rPr>
        <w:t>追责不切实际</w:t>
      </w:r>
      <w:r>
        <w:rPr>
          <w:rFonts w:hint="eastAsia" w:ascii="微软雅黑" w:hAnsi="微软雅黑" w:eastAsia="微软雅黑" w:cs="微软雅黑"/>
          <w:b/>
          <w:bCs/>
          <w:color w:val="215868"/>
          <w:sz w:val="28"/>
          <w:szCs w:val="28"/>
          <w:lang w:val="en-US" w:eastAsia="zh-CN"/>
        </w:rPr>
        <w:t>的问题。这篇文章围绕问责展开，三篇短文分别指出问责中出现的问题，并提出解决建议。</w:t>
      </w:r>
      <w:r>
        <w:rPr>
          <w:rFonts w:hint="eastAsia" w:ascii="微软雅黑" w:hAnsi="微软雅黑" w:eastAsia="微软雅黑" w:cs="微软雅黑"/>
          <w:b/>
          <w:bCs/>
          <w:i w:val="0"/>
          <w:caps w:val="0"/>
          <w:color w:val="215868"/>
          <w:spacing w:val="0"/>
          <w:sz w:val="28"/>
          <w:szCs w:val="28"/>
          <w:lang w:val="en-US" w:eastAsia="zh-CN"/>
        </w:rPr>
        <w:t>阅读本篇文章，我们主要积累一些具体措施，并理解记忆。</w:t>
      </w:r>
    </w:p>
    <w:p>
      <w:pPr>
        <w:ind w:firstLine="480" w:firstLineChars="200"/>
        <w:rPr>
          <w:rFonts w:hint="eastAsia" w:ascii="Arial" w:hAnsi="Arial" w:eastAsia="微软雅黑" w:cs="Arial"/>
          <w:i w:val="0"/>
          <w:caps w:val="0"/>
          <w:color w:val="191919"/>
          <w:spacing w:val="0"/>
          <w:sz w:val="24"/>
          <w:szCs w:val="24"/>
          <w:shd w:val="clear" w:fill="FFFFFF"/>
          <w:lang w:val="en-US" w:eastAsia="zh-CN"/>
        </w:rPr>
      </w:pPr>
    </w:p>
    <w:p>
      <w:pPr>
        <w:ind w:firstLine="540" w:firstLineChars="200"/>
        <w:rPr>
          <w:rFonts w:hint="eastAsia" w:ascii="微软雅黑" w:hAnsi="微软雅黑" w:eastAsia="微软雅黑" w:cs="微软雅黑"/>
          <w:b/>
          <w:bCs/>
          <w:i w:val="0"/>
          <w:caps w:val="0"/>
          <w:color w:val="215868"/>
          <w:spacing w:val="0"/>
          <w:sz w:val="27"/>
          <w:szCs w:val="27"/>
          <w:lang w:val="en-US" w:eastAsia="zh-CN"/>
        </w:rPr>
      </w:pP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textAlignment w:val="auto"/>
        <w:outlineLvl w:val="9"/>
        <w:rPr>
          <w:rFonts w:hint="eastAsia" w:ascii="宋体" w:hAnsi="宋体" w:eastAsia="宋体" w:cs="宋体"/>
          <w:sz w:val="21"/>
          <w:szCs w:val="21"/>
        </w:rPr>
      </w:pP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textAlignment w:val="auto"/>
        <w:outlineLvl w:val="9"/>
        <w:rPr>
          <w:rFonts w:hint="eastAsia" w:ascii="微软雅黑" w:hAnsi="微软雅黑" w:eastAsia="微软雅黑" w:cs="微软雅黑"/>
          <w:sz w:val="28"/>
          <w:szCs w:val="28"/>
        </w:rPr>
      </w:pPr>
      <w:r>
        <w:rPr>
          <w:rFonts w:hint="eastAsia" w:ascii="宋体" w:hAnsi="宋体" w:eastAsia="宋体" w:cs="宋体"/>
          <w:sz w:val="21"/>
          <w:szCs w:val="21"/>
        </w:rPr>
        <w:t>　</w:t>
      </w:r>
      <w:r>
        <w:rPr>
          <w:rFonts w:hint="eastAsia" w:ascii="微软雅黑" w:hAnsi="微软雅黑" w:eastAsia="微软雅黑" w:cs="微软雅黑"/>
          <w:sz w:val="28"/>
          <w:szCs w:val="28"/>
        </w:rPr>
        <w:t>　近年来，有权必有责、失职要问责，已经形成共识和相应的制度规范，帮助党员干部拧紧了责任“发条”。但一些地方过分依赖以问责督促落实，以至于有些追责不切实际、不论具体是非。</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56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界定责任范围，理清权责归属，建立容错纠错机制，是确保各项决策在基层落地生根的重要保障。本期大家谈，我们选刊三篇读者来稿，一起为基层干部减压支招。</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560"/>
        <w:jc w:val="right"/>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——编  者</w:t>
      </w:r>
    </w:p>
    <w:p>
      <w:pPr>
        <w:keepNext w:val="0"/>
        <w:keepLines w:val="0"/>
        <w:widowControl/>
        <w:suppressLineNumbers w:val="0"/>
        <w:spacing w:before="226" w:beforeAutospacing="0" w:after="0" w:afterAutospacing="0"/>
        <w:ind w:left="0" w:right="0" w:firstLine="560" w:firstLineChars="200"/>
        <w:jc w:val="left"/>
        <w:rPr>
          <w:rFonts w:hint="eastAsia" w:ascii="微软雅黑" w:hAnsi="微软雅黑" w:eastAsia="微软雅黑"/>
          <w:sz w:val="28"/>
          <w:szCs w:val="28"/>
          <w:u w:val="single"/>
          <w:lang w:val="en-US" w:eastAsia="zh-CN"/>
        </w:rPr>
      </w:pPr>
      <w:r>
        <w:rPr>
          <w:rFonts w:hint="eastAsia" w:ascii="微软雅黑" w:hAnsi="微软雅黑" w:eastAsia="微软雅黑" w:cs="微软雅黑"/>
          <w:b/>
          <w:color w:val="215868"/>
          <w:sz w:val="28"/>
          <w:szCs w:val="28"/>
        </w:rPr>
        <w:t>分析：</w:t>
      </w:r>
      <w:r>
        <w:rPr>
          <w:rFonts w:hint="eastAsia" w:ascii="微软雅黑" w:hAnsi="微软雅黑" w:eastAsia="微软雅黑" w:cs="微软雅黑"/>
          <w:b/>
          <w:color w:val="215868"/>
          <w:sz w:val="28"/>
          <w:szCs w:val="28"/>
          <w:lang w:val="en-US" w:eastAsia="zh-CN"/>
        </w:rPr>
        <w:t>前两段开门见山点明文章主旨，接下来的三篇文章分别指出问责中出现的不同问题，并针对问题提出解决措施。</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560"/>
        <w:jc w:val="right"/>
        <w:textAlignment w:val="auto"/>
        <w:outlineLvl w:val="9"/>
        <w:rPr>
          <w:rFonts w:hint="eastAsia" w:ascii="微软雅黑" w:hAnsi="微软雅黑" w:eastAsia="微软雅黑" w:cs="微软雅黑"/>
          <w:sz w:val="28"/>
          <w:szCs w:val="28"/>
        </w:rPr>
      </w:pP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　　</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用好问责戒尺</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right"/>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　　吕书娇</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56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久在乡镇工作，对此有着强烈感受，有的时候不仅活儿多、任务重、时间紧，而且层层压下的责任书、责任清单名目繁多，让人应接不暇。甚至有同事产生负面情绪，丧失激情不说，更难用心开展工作。这不仅会使个人思想滑坡，更影响工作推进的质量。</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56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b/>
          <w:color w:val="215868"/>
          <w:sz w:val="28"/>
          <w:szCs w:val="28"/>
        </w:rPr>
        <w:t>分析：</w:t>
      </w:r>
      <w:r>
        <w:rPr>
          <w:rFonts w:hint="eastAsia" w:ascii="微软雅黑" w:hAnsi="微软雅黑" w:eastAsia="微软雅黑" w:cs="微软雅黑"/>
          <w:b/>
          <w:color w:val="215868"/>
          <w:sz w:val="28"/>
          <w:szCs w:val="28"/>
          <w:lang w:val="en-US" w:eastAsia="zh-CN"/>
        </w:rPr>
        <w:t>本段提出现有问题，下一段提出解决建议。</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560"/>
        <w:textAlignment w:val="auto"/>
        <w:outlineLvl w:val="9"/>
        <w:rPr>
          <w:rFonts w:hint="eastAsia" w:ascii="微软雅黑" w:hAnsi="微软雅黑" w:eastAsia="微软雅黑" w:cs="微软雅黑"/>
          <w:sz w:val="28"/>
          <w:szCs w:val="28"/>
          <w:u w:val="single"/>
        </w:rPr>
      </w:pPr>
      <w:r>
        <w:rPr>
          <w:rFonts w:hint="eastAsia" w:ascii="微软雅黑" w:hAnsi="微软雅黑" w:eastAsia="微软雅黑" w:cs="微软雅黑"/>
          <w:sz w:val="28"/>
          <w:szCs w:val="28"/>
          <w:u w:val="single"/>
        </w:rPr>
        <w:t>让工作科学高效落实，不能一味罚而不奖、责而不容。滥用问责会给奋发作为制造障碍，科学问责方能激发干事创业的力量。倘若问责是一把规范行为、强化落实的戒尺，那么用这把尺子既要讲规则，也要讲艺术，既要讲政策，也要不失温度。容错之中让基层干部敢于冲锋，敢于试错；严爱之中让基层人员明白什么是对，什么是错。这样，基层工作人员才能化压力为动力，愿意全情投入、克服困难、发挥聪明才智，掌握新办法，解决新问题、新矛盾，使工作高质量完成，为基层治理注入源源不断的正能量。</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56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b/>
          <w:color w:val="215868"/>
          <w:sz w:val="28"/>
          <w:szCs w:val="28"/>
        </w:rPr>
        <w:t>分析：</w:t>
      </w:r>
      <w:r>
        <w:rPr>
          <w:rFonts w:hint="eastAsia" w:ascii="微软雅黑" w:hAnsi="微软雅黑" w:eastAsia="微软雅黑" w:cs="微软雅黑"/>
          <w:b/>
          <w:color w:val="215868"/>
          <w:sz w:val="28"/>
          <w:szCs w:val="28"/>
          <w:lang w:val="en-US" w:eastAsia="zh-CN"/>
        </w:rPr>
        <w:t>本段提出解决建议，即用好问责戒尺。本段论述了如何用好问责戒尺，同学们可以理解记忆。</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问责是为了负责</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right"/>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　　王冠楠</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56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在中央环保督察“回头看”中发现，有地方将明确由其他部门牵头负责的工作任务，全部交给了环保部门，出现问题后仅对环保部门进行追责问责，在界定责任范围、理清权责归属上产生了偏差。这种问责，显然无法有效压实责任、解决实际问题。</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56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b/>
          <w:color w:val="215868"/>
          <w:sz w:val="28"/>
          <w:szCs w:val="28"/>
        </w:rPr>
        <w:t>分析：</w:t>
      </w:r>
      <w:r>
        <w:rPr>
          <w:rFonts w:hint="eastAsia" w:ascii="微软雅黑" w:hAnsi="微软雅黑" w:eastAsia="微软雅黑" w:cs="微软雅黑"/>
          <w:b/>
          <w:color w:val="215868"/>
          <w:sz w:val="28"/>
          <w:szCs w:val="28"/>
          <w:lang w:val="en-US" w:eastAsia="zh-CN"/>
        </w:rPr>
        <w:t>本段提出现有问题，下一段提出解决建议。</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　　</w:t>
      </w:r>
      <w:r>
        <w:rPr>
          <w:rFonts w:hint="eastAsia" w:ascii="微软雅黑" w:hAnsi="微软雅黑" w:eastAsia="微软雅黑" w:cs="微软雅黑"/>
          <w:sz w:val="28"/>
          <w:szCs w:val="28"/>
          <w:u w:val="single"/>
        </w:rPr>
        <w:t>强化问责，让失职失责者承担应有责任，意在唤醒责任意识、激发担当精神。可见，</w:t>
      </w:r>
      <w:r>
        <w:rPr>
          <w:rFonts w:hint="eastAsia" w:ascii="微软雅黑" w:hAnsi="微软雅黑" w:eastAsia="微软雅黑" w:cs="微软雅黑"/>
          <w:sz w:val="28"/>
          <w:szCs w:val="28"/>
          <w:u w:val="single"/>
        </w:rPr>
        <w:t>问责是督促手段，负责才是最终目的</w:t>
      </w:r>
      <w:r>
        <w:rPr>
          <w:rFonts w:hint="eastAsia" w:ascii="微软雅黑" w:hAnsi="微软雅黑" w:eastAsia="微软雅黑" w:cs="微软雅黑"/>
          <w:sz w:val="28"/>
          <w:szCs w:val="28"/>
          <w:u w:val="none"/>
        </w:rPr>
        <w:t>。</w:t>
      </w:r>
      <w:r>
        <w:rPr>
          <w:rFonts w:hint="eastAsia" w:ascii="微软雅黑" w:hAnsi="微软雅黑" w:eastAsia="微软雅黑" w:cs="微软雅黑"/>
          <w:sz w:val="28"/>
          <w:szCs w:val="28"/>
        </w:rPr>
        <w:t>出现问题，如果问责方式简单粗暴，急于亮明态度、给个交代，欠缺精准度、科学性、公信力，不仅会挫伤基层干部的积极性，也使得“问责一个、警醒一片”的效果大打折扣。问责不只是一个处理结果，更重要的是主动聚焦问题本身，抓好后续跟踪督办，举一反三、建章立制，防范类似情况再现，解决根本性、长远性、深层次的问题。</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56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科学问责，既要做好“前半篇文章”，厘清责任、有的放矢、精准问责，做到问责主体明确、问责事项具体、问责尺度统一，释放出制度的强大力量；又要做好“后半篇文章”，坚持“惩前毖后、治病救人”的原则，健全容错纠错机制，让被问责干部甩掉思想包袱，正视问题，重拾信心。</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56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b/>
          <w:color w:val="215868"/>
          <w:sz w:val="28"/>
          <w:szCs w:val="28"/>
        </w:rPr>
        <w:t>分析：</w:t>
      </w:r>
      <w:r>
        <w:rPr>
          <w:rFonts w:hint="eastAsia" w:ascii="微软雅黑" w:hAnsi="微软雅黑" w:eastAsia="微软雅黑" w:cs="微软雅黑"/>
          <w:b/>
          <w:color w:val="215868"/>
          <w:sz w:val="28"/>
          <w:szCs w:val="28"/>
          <w:lang w:val="en-US" w:eastAsia="zh-CN"/>
        </w:rPr>
        <w:t>划线句为这两段的中心句，这两段分别从正反两方面论证问责的最终意义。</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560"/>
        <w:textAlignment w:val="auto"/>
        <w:outlineLvl w:val="9"/>
        <w:rPr>
          <w:rFonts w:hint="eastAsia" w:ascii="微软雅黑" w:hAnsi="微软雅黑" w:eastAsia="微软雅黑" w:cs="微软雅黑"/>
          <w:sz w:val="28"/>
          <w:szCs w:val="28"/>
        </w:rPr>
      </w:pP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监督不是推卸责任</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right"/>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　　刘文晓</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56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在基层调研时，听到一位干部反映，在办理有关审批手续时，有的上级单位不急不慢，为一线干部考虑不够，但一旦项目因此推进慢了却要问责，给基层造成很大压力。</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56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b/>
          <w:color w:val="215868"/>
          <w:sz w:val="28"/>
          <w:szCs w:val="28"/>
        </w:rPr>
        <w:t>分析：</w:t>
      </w:r>
      <w:r>
        <w:rPr>
          <w:rFonts w:hint="eastAsia" w:ascii="微软雅黑" w:hAnsi="微软雅黑" w:eastAsia="微软雅黑" w:cs="微软雅黑"/>
          <w:b/>
          <w:color w:val="215868"/>
          <w:sz w:val="28"/>
          <w:szCs w:val="28"/>
          <w:lang w:val="en-US" w:eastAsia="zh-CN"/>
        </w:rPr>
        <w:t>本段列举具体事例提出问题。</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56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督促任务加快落实，是开展监督问责的初衷。有的基层干部心理负担重，除了部分问责不注重方式方法、时间节奏超出承受能力之外，没有建立健全顺畅的上下沟通渠道，也是比较重要的原因。现实中发现，有的职能部门责任意识不强，推进工作不及时，上级转来的政策文件或任务部署，不加快研究传达，到了基层干部手里时，原本充裕的时间所剩无几，只能慌忙应对，无形中加剧了工作风险和成本代价，让工作陷入被动。</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56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b/>
          <w:color w:val="215868"/>
          <w:sz w:val="28"/>
          <w:szCs w:val="28"/>
        </w:rPr>
        <w:t>分析：</w:t>
      </w:r>
      <w:r>
        <w:rPr>
          <w:rFonts w:hint="eastAsia" w:ascii="微软雅黑" w:hAnsi="微软雅黑" w:eastAsia="微软雅黑" w:cs="微软雅黑"/>
          <w:b/>
          <w:color w:val="215868"/>
          <w:sz w:val="28"/>
          <w:szCs w:val="28"/>
          <w:lang w:val="en-US" w:eastAsia="zh-CN"/>
        </w:rPr>
        <w:t>分析问责反而阻碍任务落实的情况出现的原因。</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560"/>
        <w:textAlignment w:val="auto"/>
        <w:outlineLvl w:val="9"/>
        <w:rPr>
          <w:rFonts w:hint="eastAsia" w:ascii="微软雅黑" w:hAnsi="微软雅黑" w:eastAsia="微软雅黑" w:cs="微软雅黑"/>
          <w:sz w:val="28"/>
          <w:szCs w:val="28"/>
          <w:u w:val="single"/>
        </w:rPr>
      </w:pPr>
      <w:r>
        <w:rPr>
          <w:rFonts w:hint="eastAsia" w:ascii="微软雅黑" w:hAnsi="微软雅黑" w:eastAsia="微软雅黑" w:cs="微软雅黑"/>
          <w:sz w:val="28"/>
          <w:szCs w:val="28"/>
          <w:u w:val="single"/>
        </w:rPr>
        <w:t>强化监督、及时问责，目的在于推动落实、解决问题。一项任务的推进，层层传导压力，层层责任意味着可以推卸责任。各部门单位都有各自的职权和责任，有的侧重决策和出台政策，有的侧重调研指导和规范标准，有的侧重抓好落实和服务群众。只有建立上下齐心的沟通渠道，营造你追我赶的工作氛围，才能凝聚干事创业的合力，形成“人人履职尽责”的生动局面。</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560"/>
        <w:textAlignment w:val="auto"/>
        <w:outlineLvl w:val="9"/>
        <w:rPr>
          <w:rFonts w:hint="eastAsia" w:ascii="微软雅黑" w:hAnsi="微软雅黑" w:eastAsia="微软雅黑"/>
          <w:sz w:val="28"/>
          <w:szCs w:val="28"/>
          <w:u w:val="single"/>
          <w:lang w:val="en-US" w:eastAsia="zh-CN"/>
        </w:rPr>
      </w:pPr>
      <w:r>
        <w:rPr>
          <w:rFonts w:hint="eastAsia" w:ascii="微软雅黑" w:hAnsi="微软雅黑" w:eastAsia="微软雅黑" w:cs="微软雅黑"/>
          <w:b/>
          <w:color w:val="215868"/>
          <w:sz w:val="28"/>
          <w:szCs w:val="28"/>
        </w:rPr>
        <w:t>分析：</w:t>
      </w:r>
      <w:r>
        <w:rPr>
          <w:rFonts w:hint="eastAsia" w:ascii="微软雅黑" w:hAnsi="微软雅黑" w:eastAsia="微软雅黑" w:cs="微软雅黑"/>
          <w:b/>
          <w:color w:val="215868"/>
          <w:sz w:val="28"/>
          <w:szCs w:val="28"/>
          <w:lang w:val="en-US" w:eastAsia="zh-CN"/>
        </w:rPr>
        <w:t>针对上一段的情况提出解决措施。</w:t>
      </w:r>
    </w:p>
    <w:p>
      <w:pPr>
        <w:keepNext w:val="0"/>
        <w:keepLines w:val="0"/>
        <w:pageBreakBefore w:val="0"/>
        <w:kinsoku/>
        <w:wordWrap/>
        <w:overflowPunct/>
        <w:topLinePunct w:val="0"/>
        <w:autoSpaceDE/>
        <w:autoSpaceDN/>
        <w:bidi w:val="0"/>
        <w:adjustRightInd/>
        <w:snapToGrid/>
        <w:spacing w:line="240" w:lineRule="auto"/>
        <w:textAlignment w:val="auto"/>
        <w:outlineLvl w:val="9"/>
        <w:rPr>
          <w:rFonts w:hint="eastAsia" w:ascii="微软雅黑" w:hAnsi="微软雅黑" w:eastAsia="微软雅黑" w:cs="微软雅黑"/>
          <w:sz w:val="28"/>
          <w:szCs w:val="28"/>
          <w:u w:val="single"/>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A0000287" w:usb1="28C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single" w:color="auto" w:sz="4" w:space="1"/>
      </w:pBdr>
      <w:jc w:val="both"/>
    </w:pPr>
    <w:r>
      <w:pict>
        <v:shape id="PowerPlusWaterMarkObject20928378" o:spid="_x0000_s4097" o:spt="136" type="#_x0000_t136" style="position:absolute;left:0pt;height:117.1pt;width:468.4pt;mso-position-horizontal:center;mso-position-horizontal-relative:margin;mso-position-vertical:center;mso-position-vertical-relative:margin;rotation:20643840f;z-index:-251658240;mso-width-relative:page;mso-height-relative:page;" fillcolor="#C0C0C0" filled="t" stroked="f" coordsize="21600,21600" o:allowincell="f">
          <v:path/>
          <v:fill on="t" opacity="32768f" focussize="0,0"/>
          <v:stroke on="f"/>
          <v:imagedata o:title=""/>
          <o:lock v:ext="edit"/>
          <v:textpath on="t" fitshape="t" fitpath="t" trim="t" xscale="f" string="旗帜公考" style="font-family:宋体;font-size:8pt;v-same-letter-heights:f;v-text-align:center;"/>
        </v:shape>
      </w:pict>
    </w:r>
    <w:r>
      <w:drawing>
        <wp:inline distT="0" distB="0" distL="114300" distR="114300">
          <wp:extent cx="365125" cy="365125"/>
          <wp:effectExtent l="0" t="0" r="15875" b="15875"/>
          <wp:docPr id="1" name="图片 1" descr="微信图片_20180101200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80101200158"/>
                  <pic:cNvPicPr>
                    <a:picLocks noChangeAspect="1"/>
                  </pic:cNvPicPr>
                </pic:nvPicPr>
                <pic:blipFill>
                  <a:blip r:embed="rId1"/>
                  <a:stretch>
                    <a:fillRect/>
                  </a:stretch>
                </pic:blipFill>
                <pic:spPr>
                  <a:xfrm>
                    <a:off x="0" y="0"/>
                    <a:ext cx="365125" cy="365125"/>
                  </a:xfrm>
                  <a:prstGeom prst="rect">
                    <a:avLst/>
                  </a:prstGeom>
                  <a:noFill/>
                  <a:ln w="9525">
                    <a:noFill/>
                  </a:ln>
                </pic:spPr>
              </pic:pic>
            </a:graphicData>
          </a:graphic>
        </wp:inline>
      </w:drawing>
    </w:r>
    <w:r>
      <w:rPr>
        <w:rFonts w:hint="eastAsia"/>
      </w:rPr>
      <w:t xml:space="preserve">     解析人民日报，突破申论75！ 加QQ群</w:t>
    </w:r>
    <w:r>
      <w:rPr>
        <w:rFonts w:hint="eastAsia"/>
        <w:sz w:val="32"/>
        <w:szCs w:val="32"/>
      </w:rPr>
      <w:t>649400092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297F0B"/>
    <w:rsid w:val="022A07B8"/>
    <w:rsid w:val="10922064"/>
    <w:rsid w:val="1C297F0B"/>
    <w:rsid w:val="2B824BEA"/>
    <w:rsid w:val="307B3E52"/>
    <w:rsid w:val="31DF2EA6"/>
    <w:rsid w:val="3530391E"/>
    <w:rsid w:val="41034AF6"/>
    <w:rsid w:val="4C415EEF"/>
    <w:rsid w:val="52EA014A"/>
    <w:rsid w:val="5BE22CAC"/>
    <w:rsid w:val="5F3F0754"/>
    <w:rsid w:val="647710EA"/>
    <w:rsid w:val="651557FC"/>
    <w:rsid w:val="6D535020"/>
    <w:rsid w:val="723754C1"/>
    <w:rsid w:val="72581CD2"/>
    <w:rsid w:val="7B3576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8">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FollowedHyperlink"/>
    <w:basedOn w:val="8"/>
    <w:qFormat/>
    <w:uiPriority w:val="0"/>
    <w:rPr>
      <w:color w:val="000000"/>
      <w:u w:val="none"/>
    </w:rPr>
  </w:style>
  <w:style w:type="character" w:styleId="10">
    <w:name w:val="Emphasis"/>
    <w:basedOn w:val="8"/>
    <w:qFormat/>
    <w:uiPriority w:val="0"/>
    <w:rPr>
      <w:i/>
    </w:rPr>
  </w:style>
  <w:style w:type="character" w:styleId="11">
    <w:name w:val="Hyperlink"/>
    <w:basedOn w:val="8"/>
    <w:qFormat/>
    <w:uiPriority w:val="0"/>
    <w:rPr>
      <w:color w:val="000000"/>
      <w:u w:val="none"/>
    </w:rPr>
  </w:style>
  <w:style w:type="character" w:customStyle="1" w:styleId="13">
    <w:name w:val="tz_input"/>
    <w:basedOn w:val="8"/>
    <w:qFormat/>
    <w:uiPriority w:val="0"/>
    <w:rPr>
      <w:color w:val="A01211"/>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nd\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4</Pages>
  <Words>1732</Words>
  <Characters>1804</Characters>
  <Lines>0</Lines>
  <Paragraphs>0</Paragraphs>
  <TotalTime>4</TotalTime>
  <ScaleCrop>false</ScaleCrop>
  <LinksUpToDate>false</LinksUpToDate>
  <CharactersWithSpaces>1807</CharactersWithSpaces>
  <Application>WPS Office_10.1.0.7401_F1E327BC-269C-435d-A152-05C5408002CA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2018-08-23T00:39:00Z</dcterms:created>
  <dc:creator>wnd</dc:creator>
  <cp:lastModifiedBy>wnd</cp:lastModifiedBy>
  <dcterms:modified xsi:type="dcterms:W3CDTF">2018-11-08T05:07:40Z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